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黑体" w:hAnsi="黑体" w:eastAsia="黑体" w:cs="黑体"/>
          <w:color w:val="383838"/>
          <w:sz w:val="32"/>
          <w:szCs w:val="32"/>
        </w:rPr>
      </w:pPr>
      <w:r>
        <w:rPr>
          <w:rFonts w:hint="eastAsia" w:ascii="黑体" w:hAnsi="黑体" w:eastAsia="黑体" w:cs="黑体"/>
          <w:color w:val="383838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</w:rPr>
        <w:t>台州市立医院2021年公开招聘高层次卫技人员计划表</w:t>
      </w:r>
    </w:p>
    <w:bookmarkEnd w:id="0"/>
    <w:tbl>
      <w:tblPr>
        <w:tblStyle w:val="3"/>
        <w:tblW w:w="1416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1546"/>
        <w:gridCol w:w="1050"/>
        <w:gridCol w:w="610"/>
        <w:gridCol w:w="1536"/>
        <w:gridCol w:w="1603"/>
        <w:gridCol w:w="2708"/>
        <w:gridCol w:w="930"/>
        <w:gridCol w:w="1485"/>
        <w:gridCol w:w="18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8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所需资格条件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面试分数比例</w:t>
            </w:r>
          </w:p>
        </w:tc>
        <w:tc>
          <w:tcPr>
            <w:tcW w:w="14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2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职位名称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岗位类别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学历/学位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学历专业</w:t>
            </w:r>
          </w:p>
        </w:tc>
        <w:tc>
          <w:tcPr>
            <w:tcW w:w="2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</w:rPr>
            </w:pPr>
            <w:r>
              <w:rPr>
                <w:rFonts w:hint="eastAsia"/>
                <w:b/>
              </w:rPr>
              <w:t>其他资格条件</w:t>
            </w: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45周岁及以下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正高职称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或紧缺特殊人才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，年龄可放宽至50周岁。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0576-88858036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医学硕士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61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全日制普通高校研究生/硕士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年龄35周岁及以下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0576-88858036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医技硕士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全日制普通高校研究生/硕士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年龄35周岁及以下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0576-88858036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临床护理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全日制普通高校研究生/硕士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护理学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年龄35周岁及以下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0576-88858036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卫技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正高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职称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全日制普通高校研究生/硕士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各医学相关专业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年龄45周岁及以下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，同时具备卫技正高职称。紧缺特殊人才年龄可放宽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至50周岁。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0576-88858036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卫技副高职称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学士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各医学相关专业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年龄45周岁及以下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，同时具备卫技副高职称。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100%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0576-88858036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开考比例不受限制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4483A"/>
    <w:rsid w:val="7824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2021-04-01T09:19:00Z</dcterms:created>
  <dc:creator>杨羽枫</dc:creator>
  <cp:lastModifiedBy>杨羽枫</cp:lastModifiedBy>
  <dcterms:modified xsi:type="dcterms:W3CDTF">2021-04-01T09:19:57Z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